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33DE0E">
      <w:pPr>
        <w:adjustRightInd w:val="0"/>
        <w:snapToGrid w:val="0"/>
        <w:spacing w:after="156" w:afterLines="50" w:line="360" w:lineRule="auto"/>
        <w:jc w:val="center"/>
        <w:rPr>
          <w:rFonts w:hint="eastAsia" w:ascii="方正小标宋_GBK" w:hAnsi="仿宋" w:eastAsia="方正小标宋_GBK"/>
          <w:bCs/>
          <w:sz w:val="36"/>
          <w:szCs w:val="36"/>
        </w:rPr>
      </w:pPr>
    </w:p>
    <w:p w14:paraId="457FFD24">
      <w:pPr>
        <w:adjustRightInd w:val="0"/>
        <w:snapToGrid w:val="0"/>
        <w:spacing w:after="156" w:afterLines="50"/>
        <w:jc w:val="center"/>
        <w:rPr>
          <w:rFonts w:hint="eastAsia" w:ascii="方正小标宋_GBK" w:hAnsi="仿宋" w:eastAsia="方正小标宋_GBK"/>
          <w:bCs/>
          <w:sz w:val="36"/>
          <w:szCs w:val="36"/>
        </w:rPr>
      </w:pPr>
      <w:r>
        <w:rPr>
          <w:rFonts w:hint="eastAsia" w:ascii="方正小标宋_GBK" w:hAnsi="仿宋" w:eastAsia="方正小标宋_GBK"/>
          <w:bCs/>
          <w:sz w:val="36"/>
          <w:szCs w:val="36"/>
        </w:rPr>
        <w:t>中国铁道学会高质量博士、硕士学位论文汇编</w:t>
      </w:r>
    </w:p>
    <w:p w14:paraId="4D9C8C4F">
      <w:pPr>
        <w:adjustRightInd w:val="0"/>
        <w:snapToGrid w:val="0"/>
        <w:spacing w:after="156" w:afterLines="50"/>
        <w:jc w:val="center"/>
        <w:rPr>
          <w:rFonts w:hint="eastAsia" w:ascii="方正小标宋_GBK" w:hAnsi="仿宋" w:eastAsia="方正小标宋_GBK"/>
          <w:bCs/>
          <w:sz w:val="36"/>
          <w:szCs w:val="36"/>
        </w:rPr>
      </w:pPr>
      <w:r>
        <w:rPr>
          <w:rFonts w:hint="eastAsia" w:ascii="方正小标宋_GBK" w:hAnsi="仿宋" w:eastAsia="方正小标宋_GBK"/>
          <w:bCs/>
          <w:sz w:val="36"/>
          <w:szCs w:val="36"/>
        </w:rPr>
        <w:t>实施办法（征求意见稿）</w:t>
      </w:r>
    </w:p>
    <w:p w14:paraId="09BF9CE0">
      <w:pPr>
        <w:adjustRightInd w:val="0"/>
        <w:snapToGrid w:val="0"/>
        <w:spacing w:after="156" w:afterLines="50" w:line="360" w:lineRule="auto"/>
        <w:jc w:val="center"/>
        <w:rPr>
          <w:rFonts w:hint="eastAsia" w:ascii="仿宋" w:hAnsi="仿宋" w:eastAsia="仿宋"/>
          <w:b/>
          <w:bCs/>
          <w:sz w:val="32"/>
          <w:szCs w:val="32"/>
        </w:rPr>
      </w:pPr>
      <w:r>
        <w:rPr>
          <w:rFonts w:ascii="仿宋" w:hAnsi="仿宋" w:eastAsia="仿宋"/>
          <w:b/>
          <w:bCs/>
          <w:sz w:val="32"/>
          <w:szCs w:val="32"/>
        </w:rPr>
        <w:t>第一章 总则</w:t>
      </w:r>
    </w:p>
    <w:p w14:paraId="16F1FF9D">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第一条 </w:t>
      </w:r>
      <w:r>
        <w:rPr>
          <w:rFonts w:ascii="仿宋" w:hAnsi="仿宋" w:eastAsia="仿宋"/>
          <w:sz w:val="32"/>
          <w:szCs w:val="32"/>
        </w:rPr>
        <w:t>为推动铁道</w:t>
      </w:r>
      <w:r>
        <w:rPr>
          <w:rFonts w:hint="eastAsia" w:ascii="仿宋" w:hAnsi="仿宋" w:eastAsia="仿宋"/>
          <w:sz w:val="32"/>
          <w:szCs w:val="32"/>
        </w:rPr>
        <w:t>行业</w:t>
      </w:r>
      <w:r>
        <w:rPr>
          <w:rFonts w:ascii="仿宋" w:hAnsi="仿宋" w:eastAsia="仿宋"/>
          <w:sz w:val="32"/>
          <w:szCs w:val="32"/>
        </w:rPr>
        <w:t>科技创新与学科发展，促进高层次青年科技人才培养，发现和储备行业优秀青年学术骨干，提升铁道相关学科研究生培养质量，中国铁道学会组织开展</w:t>
      </w:r>
      <w:r>
        <w:rPr>
          <w:rFonts w:hint="eastAsia" w:ascii="仿宋" w:hAnsi="仿宋" w:eastAsia="仿宋"/>
          <w:sz w:val="32"/>
          <w:szCs w:val="32"/>
        </w:rPr>
        <w:t>轨道交通领域高质量</w:t>
      </w:r>
      <w:r>
        <w:rPr>
          <w:rFonts w:ascii="仿宋" w:hAnsi="仿宋" w:eastAsia="仿宋"/>
          <w:sz w:val="32"/>
          <w:szCs w:val="32"/>
        </w:rPr>
        <w:t>博士、硕士学位论文汇编工作。</w:t>
      </w:r>
    </w:p>
    <w:p w14:paraId="5CE7F363">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第二条 </w:t>
      </w:r>
      <w:r>
        <w:rPr>
          <w:rFonts w:ascii="仿宋" w:hAnsi="仿宋" w:eastAsia="仿宋"/>
          <w:sz w:val="32"/>
          <w:szCs w:val="32"/>
        </w:rPr>
        <w:t>论文汇编遴选工作每年开展一次，遵循科学公正、注重创新、严格筛选、宁缺毋滥的原则，实行同行专家评审制度，坚持回避制度与异议制度，确保遴选过程规范、公平、公正。</w:t>
      </w:r>
    </w:p>
    <w:p w14:paraId="49711680">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第三条 </w:t>
      </w:r>
      <w:r>
        <w:rPr>
          <w:rFonts w:ascii="仿宋" w:hAnsi="仿宋" w:eastAsia="仿宋"/>
          <w:sz w:val="32"/>
          <w:szCs w:val="32"/>
        </w:rPr>
        <w:t>论文汇编分高质量博士学位论文、高质量硕士学位论文两个序列。根据年度推荐论文质量与数量确定入选汇编规模，其中博士学位论文入选汇编文章原则上不超过 15 篇，硕士学位论文入选汇编文章原则上不超过 20 篇；不设入选等级和提名类别。</w:t>
      </w:r>
    </w:p>
    <w:p w14:paraId="1278F7CE">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第四条 </w:t>
      </w:r>
      <w:r>
        <w:rPr>
          <w:rFonts w:ascii="仿宋" w:hAnsi="仿宋" w:eastAsia="仿宋"/>
          <w:sz w:val="32"/>
          <w:szCs w:val="32"/>
        </w:rPr>
        <w:t>论文汇编面向铁道工程、载运工具、铁路运输、通信信号、牵引动力等铁道相关专业领域，推荐论文所属学科专业按照国家研究生教育学科专业目录及其新旧目录调整对应关系认定。</w:t>
      </w:r>
    </w:p>
    <w:p w14:paraId="45C7625E">
      <w:pPr>
        <w:adjustRightInd w:val="0"/>
        <w:snapToGrid w:val="0"/>
        <w:spacing w:after="156" w:afterLines="50" w:line="360" w:lineRule="auto"/>
        <w:jc w:val="center"/>
        <w:rPr>
          <w:rFonts w:hint="eastAsia" w:ascii="仿宋" w:hAnsi="仿宋" w:eastAsia="仿宋"/>
          <w:b/>
          <w:bCs/>
          <w:sz w:val="32"/>
          <w:szCs w:val="32"/>
        </w:rPr>
      </w:pPr>
      <w:r>
        <w:rPr>
          <w:rFonts w:ascii="仿宋" w:hAnsi="仿宋" w:eastAsia="仿宋"/>
          <w:b/>
          <w:bCs/>
          <w:sz w:val="32"/>
          <w:szCs w:val="32"/>
        </w:rPr>
        <w:t>第二章 遴选范围与推荐条件</w:t>
      </w:r>
    </w:p>
    <w:p w14:paraId="0D158366">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第五条 </w:t>
      </w:r>
      <w:r>
        <w:rPr>
          <w:rFonts w:ascii="仿宋" w:hAnsi="仿宋" w:eastAsia="仿宋"/>
          <w:sz w:val="32"/>
          <w:szCs w:val="32"/>
        </w:rPr>
        <w:t>推荐参加论文汇编遴选的论文，须符合以下时效与学位要求：</w:t>
      </w:r>
    </w:p>
    <w:p w14:paraId="0D5E8BF7">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（一）博士学位论文：在遴选年度前 2 个学年度内（即遴选当年 8 月 31 日前推 2 年），在国内学位授予单位获得铁道及相关学科博士学位的论文；</w:t>
      </w:r>
    </w:p>
    <w:p w14:paraId="7F2C4723">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（二）硕士学位论文：在遴选年度前 2 个学年度内（即遴选当年 8 月 31 日前推 2 年），在国内学位授予单位获得铁道及相关学科硕士学位的论文。</w:t>
      </w:r>
    </w:p>
    <w:p w14:paraId="60B203B2">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第六条 </w:t>
      </w:r>
      <w:r>
        <w:rPr>
          <w:rFonts w:ascii="仿宋" w:hAnsi="仿宋" w:eastAsia="仿宋"/>
          <w:sz w:val="32"/>
          <w:szCs w:val="32"/>
        </w:rPr>
        <w:t>推荐论文所属学科专业须属于以下范围之一：</w:t>
      </w:r>
    </w:p>
    <w:p w14:paraId="2844B8C7">
      <w:pPr>
        <w:adjustRightInd w:val="0"/>
        <w:snapToGrid w:val="0"/>
        <w:spacing w:after="156" w:afterLines="50" w:line="360" w:lineRule="auto"/>
        <w:ind w:firstLine="640" w:firstLineChars="200"/>
        <w:rPr>
          <w:rFonts w:hint="eastAsia" w:ascii="仿宋" w:hAnsi="仿宋" w:eastAsia="仿宋"/>
          <w:sz w:val="32"/>
          <w:szCs w:val="32"/>
        </w:rPr>
      </w:pPr>
      <w:r>
        <w:rPr>
          <w:rFonts w:hint="eastAsia" w:ascii="仿宋" w:hAnsi="仿宋" w:eastAsia="仿宋"/>
          <w:sz w:val="32"/>
          <w:szCs w:val="32"/>
        </w:rPr>
        <w:t>（一）学术学位。推荐论文所属学科须属于国家研究生教育学科专业目录规定的相关一级学科、二级学科，以及按照国家有关规定实施新旧目录对应调整的相关学科。涉及铁道领域的，主要包括道路与铁道工程、载运工具运用工程、交通运输规划与管理、交通信息工程及控制等相关学科。</w:t>
      </w:r>
    </w:p>
    <w:p w14:paraId="6F718075">
      <w:pPr>
        <w:adjustRightInd w:val="0"/>
        <w:snapToGrid w:val="0"/>
        <w:spacing w:after="156" w:afterLines="50" w:line="360" w:lineRule="auto"/>
        <w:ind w:firstLine="640" w:firstLineChars="200"/>
        <w:rPr>
          <w:rFonts w:hint="eastAsia" w:ascii="仿宋" w:hAnsi="仿宋" w:eastAsia="仿宋"/>
          <w:sz w:val="32"/>
          <w:szCs w:val="32"/>
        </w:rPr>
      </w:pPr>
      <w:r>
        <w:rPr>
          <w:rFonts w:hint="eastAsia" w:ascii="仿宋" w:hAnsi="仿宋" w:eastAsia="仿宋"/>
          <w:sz w:val="32"/>
          <w:szCs w:val="32"/>
        </w:rPr>
        <w:t>（二）专业学位。推荐论文所属专业须属于国家研究生教育学科专业目录规定的相关专业学位类别及专业领域。涉及铁道领域的，主要包括交通运输、电子信息、机械、能源动力、土木水利等相关专业学位类别及其对应专业领域。</w:t>
      </w:r>
    </w:p>
    <w:p w14:paraId="48662100">
      <w:pPr>
        <w:adjustRightInd w:val="0"/>
        <w:snapToGrid w:val="0"/>
        <w:spacing w:after="156" w:afterLines="50" w:line="360" w:lineRule="auto"/>
        <w:ind w:firstLine="800" w:firstLineChars="250"/>
        <w:rPr>
          <w:rFonts w:hint="eastAsia" w:ascii="仿宋" w:hAnsi="仿宋" w:eastAsia="仿宋"/>
          <w:sz w:val="32"/>
          <w:szCs w:val="32"/>
        </w:rPr>
      </w:pPr>
      <w:r>
        <w:rPr>
          <w:rFonts w:hint="eastAsia" w:ascii="仿宋" w:hAnsi="仿宋" w:eastAsia="仿宋"/>
          <w:sz w:val="32"/>
          <w:szCs w:val="32"/>
        </w:rPr>
        <w:t>推荐论文所属学科专业应与铁道工程、载运工具、铁路运输、通信信号、牵引动力等专业方向具有实质性相关性。对专业学位研究生，以其实际培养领域、学位论文研究内容和专业领域作为认定依据。国家研究生教育学科专业目录调整后，申报论文所属学科专业的对应关系，按照国务院学位委员会、教育部公布的有关目录及调整对应关系执行。</w:t>
      </w:r>
      <w:r>
        <w:rPr>
          <w:rFonts w:ascii="仿宋" w:hAnsi="仿宋" w:eastAsia="仿宋"/>
          <w:sz w:val="32"/>
          <w:szCs w:val="32"/>
        </w:rPr>
        <w:t xml:space="preserve"> </w:t>
      </w:r>
    </w:p>
    <w:p w14:paraId="110CE647">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第七条 </w:t>
      </w:r>
      <w:r>
        <w:rPr>
          <w:rFonts w:ascii="仿宋" w:hAnsi="仿宋" w:eastAsia="仿宋"/>
          <w:sz w:val="32"/>
          <w:szCs w:val="32"/>
        </w:rPr>
        <w:t>推荐论文须符合以下学术与身份要求：</w:t>
      </w:r>
    </w:p>
    <w:p w14:paraId="36EAED23">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（一）选题紧扣铁道行业科技发展前沿与重大工程需求，具有重要理论价值或工程应用价值； </w:t>
      </w:r>
    </w:p>
    <w:p w14:paraId="6D982C28">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（二）在理论、方法、技术或工程应用上有自主创新，取得突破性进展或关键技术突破； </w:t>
      </w:r>
    </w:p>
    <w:p w14:paraId="01E2EF93">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（三）数据真实可靠，论证逻辑严密，结论科学可信，写作规范，符合学位论文格式要求； </w:t>
      </w:r>
    </w:p>
    <w:p w14:paraId="7A0D8363">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（四）论文作者</w:t>
      </w:r>
      <w:r>
        <w:rPr>
          <w:rFonts w:hint="eastAsia" w:ascii="仿宋" w:hAnsi="仿宋" w:eastAsia="仿宋"/>
          <w:sz w:val="32"/>
          <w:szCs w:val="32"/>
        </w:rPr>
        <w:t>自愿参加遴选，并且</w:t>
      </w:r>
      <w:r>
        <w:rPr>
          <w:rFonts w:ascii="仿宋" w:hAnsi="仿宋" w:eastAsia="仿宋"/>
          <w:sz w:val="32"/>
          <w:szCs w:val="32"/>
        </w:rPr>
        <w:t>原则上为中国铁道学会个人</w:t>
      </w:r>
      <w:r>
        <w:rPr>
          <w:rFonts w:hint="eastAsia" w:ascii="仿宋" w:hAnsi="仿宋" w:eastAsia="仿宋"/>
          <w:sz w:val="32"/>
          <w:szCs w:val="32"/>
        </w:rPr>
        <w:t>（学生）</w:t>
      </w:r>
      <w:r>
        <w:rPr>
          <w:rFonts w:ascii="仿宋" w:hAnsi="仿宋" w:eastAsia="仿宋"/>
          <w:sz w:val="32"/>
          <w:szCs w:val="32"/>
        </w:rPr>
        <w:t>会员，学风端正，无学术不端记录</w:t>
      </w:r>
      <w:r>
        <w:rPr>
          <w:rFonts w:hint="eastAsia" w:ascii="仿宋" w:hAnsi="仿宋" w:eastAsia="仿宋"/>
          <w:sz w:val="32"/>
          <w:szCs w:val="32"/>
        </w:rPr>
        <w:t>。</w:t>
      </w:r>
      <w:r>
        <w:rPr>
          <w:rFonts w:ascii="仿宋" w:hAnsi="仿宋" w:eastAsia="仿宋"/>
          <w:sz w:val="32"/>
          <w:szCs w:val="32"/>
        </w:rPr>
        <w:t xml:space="preserve"> </w:t>
      </w:r>
    </w:p>
    <w:p w14:paraId="1D953DEC">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第八条 </w:t>
      </w:r>
      <w:r>
        <w:rPr>
          <w:rFonts w:ascii="仿宋" w:hAnsi="仿宋" w:eastAsia="仿宋"/>
          <w:sz w:val="32"/>
          <w:szCs w:val="32"/>
        </w:rPr>
        <w:t>有下列情形之一的论文，不得推荐：</w:t>
      </w:r>
    </w:p>
    <w:p w14:paraId="017544DB">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w:t>
      </w:r>
      <w:r>
        <w:rPr>
          <w:rFonts w:hint="eastAsia" w:ascii="仿宋" w:hAnsi="仿宋" w:eastAsia="仿宋"/>
          <w:sz w:val="32"/>
          <w:szCs w:val="32"/>
        </w:rPr>
        <w:t>1</w:t>
      </w:r>
      <w:r>
        <w:rPr>
          <w:rFonts w:ascii="仿宋" w:hAnsi="仿宋" w:eastAsia="仿宋"/>
          <w:sz w:val="32"/>
          <w:szCs w:val="32"/>
        </w:rPr>
        <w:t xml:space="preserve">）涉密论文或涉及知识产权纠纷的论文； </w:t>
      </w:r>
    </w:p>
    <w:p w14:paraId="0ADF28EE">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（2）已参加过本论文汇编遴选，或已入选其他全国性学会同类高质量学位论文汇编、激励或托举项目的论文；</w:t>
      </w:r>
    </w:p>
    <w:p w14:paraId="2E31DBC0">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w:t>
      </w:r>
      <w:r>
        <w:rPr>
          <w:rFonts w:hint="eastAsia" w:ascii="仿宋" w:hAnsi="仿宋" w:eastAsia="仿宋"/>
          <w:sz w:val="32"/>
          <w:szCs w:val="32"/>
        </w:rPr>
        <w:t>3</w:t>
      </w:r>
      <w:r>
        <w:rPr>
          <w:rFonts w:ascii="仿宋" w:hAnsi="仿宋" w:eastAsia="仿宋"/>
          <w:sz w:val="32"/>
          <w:szCs w:val="32"/>
        </w:rPr>
        <w:t xml:space="preserve">）论文答辩前，作者已取得副高级及以上专业技术职称的； </w:t>
      </w:r>
    </w:p>
    <w:p w14:paraId="49C816F3">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w:t>
      </w:r>
      <w:r>
        <w:rPr>
          <w:rFonts w:hint="eastAsia" w:ascii="仿宋" w:hAnsi="仿宋" w:eastAsia="仿宋"/>
          <w:sz w:val="32"/>
          <w:szCs w:val="32"/>
        </w:rPr>
        <w:t>4</w:t>
      </w:r>
      <w:r>
        <w:rPr>
          <w:rFonts w:ascii="仿宋" w:hAnsi="仿宋" w:eastAsia="仿宋"/>
          <w:sz w:val="32"/>
          <w:szCs w:val="32"/>
        </w:rPr>
        <w:t>）经查实存在学术不端行为的论文。</w:t>
      </w:r>
    </w:p>
    <w:p w14:paraId="1C254155">
      <w:pPr>
        <w:adjustRightInd w:val="0"/>
        <w:snapToGrid w:val="0"/>
        <w:spacing w:after="156" w:afterLines="50" w:line="360" w:lineRule="auto"/>
        <w:jc w:val="center"/>
        <w:rPr>
          <w:rFonts w:hint="eastAsia" w:ascii="仿宋" w:hAnsi="仿宋" w:eastAsia="仿宋"/>
          <w:b/>
          <w:bCs/>
          <w:sz w:val="32"/>
          <w:szCs w:val="32"/>
        </w:rPr>
      </w:pPr>
      <w:r>
        <w:rPr>
          <w:rFonts w:ascii="仿宋" w:hAnsi="仿宋" w:eastAsia="仿宋"/>
          <w:b/>
          <w:bCs/>
          <w:sz w:val="32"/>
          <w:szCs w:val="32"/>
        </w:rPr>
        <w:t>第三章 组织</w:t>
      </w:r>
      <w:r>
        <w:rPr>
          <w:rFonts w:hint="eastAsia" w:ascii="仿宋" w:hAnsi="仿宋" w:eastAsia="仿宋"/>
          <w:b/>
          <w:bCs/>
          <w:sz w:val="32"/>
          <w:szCs w:val="32"/>
        </w:rPr>
        <w:t>机构</w:t>
      </w:r>
    </w:p>
    <w:p w14:paraId="5C481BF7">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第九条 </w:t>
      </w:r>
      <w:r>
        <w:rPr>
          <w:rFonts w:ascii="仿宋" w:hAnsi="仿宋" w:eastAsia="仿宋"/>
          <w:sz w:val="32"/>
          <w:szCs w:val="32"/>
        </w:rPr>
        <w:t>中国铁道学会设立高质量学位论文汇编工作委员会（以下简称“工作委员会”），负责论文汇编遴选工作的组织与专业审议。工作委员会由铁道领域高校、科研院所、行业单位的专家组成，设主任委员 1 人，副主任委员 2-3 人，委员若干人。</w:t>
      </w:r>
    </w:p>
    <w:p w14:paraId="5565B483">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工作委员会主要职责：</w:t>
      </w:r>
    </w:p>
    <w:p w14:paraId="39CAE101">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（一）审议论文汇编工作规则、遴选标准与相关工作安排；</w:t>
      </w:r>
    </w:p>
    <w:p w14:paraId="3726ADEB">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（二）主持终评会议，审议确定拟入选汇编论文名单；</w:t>
      </w:r>
    </w:p>
    <w:p w14:paraId="61EADFF1">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（三）裁决评审过程中的重大异议与争议事项； </w:t>
      </w:r>
    </w:p>
    <w:p w14:paraId="0A9E1D03">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（四）指导遴选工作，监督评审纪律执行。</w:t>
      </w:r>
    </w:p>
    <w:p w14:paraId="6ECBA440">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第十条 </w:t>
      </w:r>
      <w:r>
        <w:rPr>
          <w:rFonts w:ascii="仿宋" w:hAnsi="仿宋" w:eastAsia="仿宋"/>
          <w:sz w:val="32"/>
          <w:szCs w:val="32"/>
        </w:rPr>
        <w:t>工作委员会下设 5 个专业评审组：铁道工程评审组、载运工具评审组、铁路运输评审组、通信信号评审组、牵引动力评审组。</w:t>
      </w:r>
    </w:p>
    <w:p w14:paraId="156912E1">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各专业评审组由 3-5 名同行专家组成，专业评审组主要职责：</w:t>
      </w:r>
    </w:p>
    <w:p w14:paraId="7B05FD4E">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（一）负责本专业方向论文的初评工作，开展同行盲审与综合评价；</w:t>
      </w:r>
    </w:p>
    <w:p w14:paraId="2FD382B0">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（二）向工作委员会提交终评候选论文及评审意见；</w:t>
      </w:r>
    </w:p>
    <w:p w14:paraId="60495C66">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（三）参与异议核查的专业论证工作。 </w:t>
      </w:r>
    </w:p>
    <w:p w14:paraId="796A9350">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第十一条</w:t>
      </w:r>
      <w:r>
        <w:rPr>
          <w:rFonts w:ascii="仿宋" w:hAnsi="仿宋" w:eastAsia="仿宋"/>
          <w:sz w:val="32"/>
          <w:szCs w:val="32"/>
        </w:rPr>
        <w:t xml:space="preserve"> 中国铁道学会高质量学位论文汇编工作办公室（以下简称“汇编工作办公室”）为论文汇编工作的日常执行机构，主要职责：</w:t>
      </w:r>
    </w:p>
    <w:p w14:paraId="08A2513D">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（一）发布年度论文汇编推荐通知，受理推荐材料；</w:t>
      </w:r>
    </w:p>
    <w:p w14:paraId="5613374C">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（二）负责推荐材料的形式审查与资格核查；</w:t>
      </w:r>
    </w:p>
    <w:p w14:paraId="3A3D49E8">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（三）组建专家库，组织同行初评和终评工作；</w:t>
      </w:r>
    </w:p>
    <w:p w14:paraId="5C492751">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（四）负责遴选结果公示、异议处理、汇编编辑发布与材料归档；</w:t>
      </w:r>
    </w:p>
    <w:p w14:paraId="7D7626B0">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（五）论文汇编工作的其他日常事务。</w:t>
      </w:r>
    </w:p>
    <w:p w14:paraId="38B72D17">
      <w:pPr>
        <w:adjustRightInd w:val="0"/>
        <w:snapToGrid w:val="0"/>
        <w:spacing w:after="156" w:afterLines="50" w:line="360" w:lineRule="auto"/>
        <w:jc w:val="center"/>
        <w:rPr>
          <w:rFonts w:hint="eastAsia" w:ascii="仿宋" w:hAnsi="仿宋" w:eastAsia="仿宋"/>
          <w:b/>
          <w:bCs/>
          <w:sz w:val="32"/>
          <w:szCs w:val="32"/>
        </w:rPr>
      </w:pPr>
      <w:r>
        <w:rPr>
          <w:rFonts w:ascii="仿宋" w:hAnsi="仿宋" w:eastAsia="仿宋"/>
          <w:b/>
          <w:bCs/>
          <w:sz w:val="32"/>
          <w:szCs w:val="32"/>
        </w:rPr>
        <w:t>第四章 推荐与材料报送</w:t>
      </w:r>
    </w:p>
    <w:p w14:paraId="6649AEA2">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第十二条 </w:t>
      </w:r>
      <w:r>
        <w:rPr>
          <w:rFonts w:ascii="仿宋" w:hAnsi="仿宋" w:eastAsia="仿宋"/>
          <w:sz w:val="32"/>
          <w:szCs w:val="32"/>
        </w:rPr>
        <w:t>论文汇编实行单位推荐制度，不接受个人直接推荐。</w:t>
      </w:r>
    </w:p>
    <w:p w14:paraId="33BD708B">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第十三条</w:t>
      </w:r>
      <w:r>
        <w:rPr>
          <w:rFonts w:ascii="仿宋" w:hAnsi="仿宋" w:eastAsia="仿宋"/>
          <w:sz w:val="32"/>
          <w:szCs w:val="32"/>
        </w:rPr>
        <w:t xml:space="preserve"> 推荐单位范围： </w:t>
      </w:r>
    </w:p>
    <w:p w14:paraId="0593495C">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（一）设有铁道相关学科专业的高等院校、科研院所； </w:t>
      </w:r>
    </w:p>
    <w:p w14:paraId="76554B02">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（二）其他经学会认可的行业单位。 </w:t>
      </w:r>
    </w:p>
    <w:p w14:paraId="412B8A95">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第十四条 </w:t>
      </w:r>
      <w:r>
        <w:rPr>
          <w:rFonts w:ascii="仿宋" w:hAnsi="仿宋" w:eastAsia="仿宋"/>
          <w:sz w:val="32"/>
          <w:szCs w:val="32"/>
        </w:rPr>
        <w:t>推荐实行限额管理：</w:t>
      </w:r>
    </w:p>
    <w:p w14:paraId="3E703D89">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（一）具有</w:t>
      </w:r>
      <w:r>
        <w:rPr>
          <w:rFonts w:hint="eastAsia" w:ascii="仿宋" w:hAnsi="仿宋" w:eastAsia="仿宋"/>
          <w:sz w:val="32"/>
          <w:szCs w:val="32"/>
          <w:lang w:val="en-US" w:eastAsia="zh-CN"/>
        </w:rPr>
        <w:t>铁道相关专业</w:t>
      </w:r>
      <w:r>
        <w:rPr>
          <w:rFonts w:ascii="仿宋" w:hAnsi="仿宋" w:eastAsia="仿宋"/>
          <w:sz w:val="32"/>
          <w:szCs w:val="32"/>
        </w:rPr>
        <w:t>一</w:t>
      </w:r>
      <w:bookmarkStart w:id="0" w:name="_GoBack"/>
      <w:bookmarkEnd w:id="0"/>
      <w:r>
        <w:rPr>
          <w:rFonts w:ascii="仿宋" w:hAnsi="仿宋" w:eastAsia="仿宋"/>
          <w:sz w:val="32"/>
          <w:szCs w:val="32"/>
        </w:rPr>
        <w:t>级学科博士学位授予权，或具有与本汇编专业领域相关的博士学位授权的单位，每年度推荐博士论文不超过 10 篇、硕士论文不超过 15 篇；</w:t>
      </w:r>
    </w:p>
    <w:p w14:paraId="72F58E94">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（二）不具有</w:t>
      </w:r>
      <w:r>
        <w:rPr>
          <w:rFonts w:hint="eastAsia" w:ascii="仿宋" w:hAnsi="仿宋" w:eastAsia="仿宋"/>
          <w:sz w:val="32"/>
          <w:szCs w:val="32"/>
          <w:lang w:val="en-US" w:eastAsia="zh-CN"/>
        </w:rPr>
        <w:t>铁道相关专业</w:t>
      </w:r>
      <w:r>
        <w:rPr>
          <w:rFonts w:ascii="仿宋" w:hAnsi="仿宋" w:eastAsia="仿宋"/>
          <w:sz w:val="32"/>
          <w:szCs w:val="32"/>
        </w:rPr>
        <w:t>一级学科博士学位授予权的单位，每年度推荐博士论文不超过 5 篇、硕士论文不超过 10 篇；</w:t>
      </w:r>
    </w:p>
    <w:p w14:paraId="26A64B44">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第十</w:t>
      </w:r>
      <w:r>
        <w:rPr>
          <w:rFonts w:hint="eastAsia" w:ascii="仿宋" w:hAnsi="仿宋" w:eastAsia="仿宋"/>
          <w:b/>
          <w:bCs/>
          <w:sz w:val="32"/>
          <w:szCs w:val="32"/>
        </w:rPr>
        <w:t>五</w:t>
      </w:r>
      <w:r>
        <w:rPr>
          <w:rFonts w:ascii="仿宋" w:hAnsi="仿宋" w:eastAsia="仿宋"/>
          <w:b/>
          <w:bCs/>
          <w:sz w:val="32"/>
          <w:szCs w:val="32"/>
        </w:rPr>
        <w:t xml:space="preserve">条 </w:t>
      </w:r>
      <w:r>
        <w:rPr>
          <w:rFonts w:ascii="仿宋" w:hAnsi="仿宋" w:eastAsia="仿宋"/>
          <w:sz w:val="32"/>
          <w:szCs w:val="32"/>
        </w:rPr>
        <w:t>各推荐单位须对推荐论文的学术质量、真实性与合规性进行审核，按推荐限额择优推荐，并对推荐材料的真实性负责。</w:t>
      </w:r>
    </w:p>
    <w:p w14:paraId="54A23C81">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第十</w:t>
      </w:r>
      <w:r>
        <w:rPr>
          <w:rFonts w:hint="eastAsia" w:ascii="仿宋" w:hAnsi="仿宋" w:eastAsia="仿宋"/>
          <w:b/>
          <w:bCs/>
          <w:sz w:val="32"/>
          <w:szCs w:val="32"/>
        </w:rPr>
        <w:t>六</w:t>
      </w:r>
      <w:r>
        <w:rPr>
          <w:rFonts w:ascii="仿宋" w:hAnsi="仿宋" w:eastAsia="仿宋"/>
          <w:b/>
          <w:bCs/>
          <w:sz w:val="32"/>
          <w:szCs w:val="32"/>
        </w:rPr>
        <w:t xml:space="preserve">条 </w:t>
      </w:r>
      <w:r>
        <w:rPr>
          <w:rFonts w:ascii="仿宋" w:hAnsi="仿宋" w:eastAsia="仿宋"/>
          <w:sz w:val="32"/>
          <w:szCs w:val="32"/>
        </w:rPr>
        <w:t>推荐须提交以下材料：</w:t>
      </w:r>
    </w:p>
    <w:p w14:paraId="6EF801AB">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（一）《中国铁道学会高质量博士 / 硕士学位论文汇编推荐表》1 份，由推荐单位负责人签字并加盖单位公章</w:t>
      </w:r>
      <w:r>
        <w:rPr>
          <w:rFonts w:hint="eastAsia" w:ascii="仿宋" w:hAnsi="仿宋" w:eastAsia="仿宋"/>
          <w:sz w:val="32"/>
          <w:szCs w:val="32"/>
        </w:rPr>
        <w:t>；</w:t>
      </w:r>
    </w:p>
    <w:p w14:paraId="3B64F109">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（二）</w:t>
      </w:r>
      <w:r>
        <w:rPr>
          <w:rFonts w:hint="eastAsia" w:ascii="仿宋" w:hAnsi="仿宋" w:eastAsia="仿宋"/>
          <w:sz w:val="32"/>
          <w:szCs w:val="32"/>
        </w:rPr>
        <w:t>学位论文全文</w:t>
      </w:r>
      <w:r>
        <w:rPr>
          <w:rFonts w:ascii="仿宋" w:hAnsi="仿宋" w:eastAsia="仿宋"/>
          <w:sz w:val="32"/>
          <w:szCs w:val="32"/>
        </w:rPr>
        <w:t xml:space="preserve">2份，其中实名版1份、盲评版1份，论文内容应与获得学位时的版本保持一致。盲评版须隐去作者姓名、导师姓名、所在单位、致谢、基金项目标注等所有身份标识信息； </w:t>
      </w:r>
    </w:p>
    <w:p w14:paraId="2A7FC01C">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（三）学位证书复印件 1 份，加盖推荐单位公章； </w:t>
      </w:r>
    </w:p>
    <w:p w14:paraId="01F9C3D9">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（四）学位论文答辩委员会评议意见 1 份，加盖推荐单位公章； </w:t>
      </w:r>
    </w:p>
    <w:p w14:paraId="65DB0EDB">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（五）推荐单位出具的学术不端检测报告 1 份； </w:t>
      </w:r>
    </w:p>
    <w:p w14:paraId="1FD5DC27">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（六）攻读学位期间与论文相关的代表性学术成果证明材料（发表论文、专利、工程应用证明等）1 套。</w:t>
      </w:r>
    </w:p>
    <w:p w14:paraId="6A6B808F">
      <w:pPr>
        <w:adjustRightInd w:val="0"/>
        <w:snapToGrid w:val="0"/>
        <w:spacing w:after="156" w:afterLines="50" w:line="360" w:lineRule="auto"/>
        <w:jc w:val="center"/>
        <w:rPr>
          <w:rFonts w:hint="eastAsia" w:ascii="仿宋" w:hAnsi="仿宋" w:eastAsia="仿宋"/>
          <w:b/>
          <w:bCs/>
          <w:sz w:val="32"/>
          <w:szCs w:val="32"/>
        </w:rPr>
      </w:pPr>
      <w:r>
        <w:rPr>
          <w:rFonts w:ascii="仿宋" w:hAnsi="仿宋" w:eastAsia="仿宋"/>
          <w:b/>
          <w:bCs/>
          <w:sz w:val="32"/>
          <w:szCs w:val="32"/>
        </w:rPr>
        <w:t>第五章 遴选程序</w:t>
      </w:r>
    </w:p>
    <w:p w14:paraId="392FD739">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第十</w:t>
      </w:r>
      <w:r>
        <w:rPr>
          <w:rFonts w:hint="eastAsia" w:ascii="仿宋" w:hAnsi="仿宋" w:eastAsia="仿宋"/>
          <w:b/>
          <w:bCs/>
          <w:sz w:val="32"/>
          <w:szCs w:val="32"/>
        </w:rPr>
        <w:t>七</w:t>
      </w:r>
      <w:r>
        <w:rPr>
          <w:rFonts w:ascii="仿宋" w:hAnsi="仿宋" w:eastAsia="仿宋"/>
          <w:b/>
          <w:bCs/>
          <w:sz w:val="32"/>
          <w:szCs w:val="32"/>
        </w:rPr>
        <w:t xml:space="preserve">条 </w:t>
      </w:r>
      <w:r>
        <w:rPr>
          <w:rFonts w:ascii="仿宋" w:hAnsi="仿宋" w:eastAsia="仿宋"/>
          <w:sz w:val="32"/>
          <w:szCs w:val="32"/>
        </w:rPr>
        <w:t>论文汇编遴选工作按以下程序进行：</w:t>
      </w:r>
    </w:p>
    <w:p w14:paraId="7B608769">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（一）发布通知：汇编工作办公室根据年度工作安排发布论文汇编推荐通知，明确推荐范围、材料要求、截止时间和报送方式等事项。</w:t>
      </w:r>
    </w:p>
    <w:p w14:paraId="4137C1F4">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（二）材料报送：各推荐单位按通知要求组织推荐，在规定截止日期前将推荐材料统一报送汇编工作办公室。</w:t>
      </w:r>
    </w:p>
    <w:p w14:paraId="13187C65">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（三）形式审查：学会对推荐材料的完整性、推荐资格、学科专业范围和推荐渠道合规性进行核查。不符合推荐条件的，不予受理；材料不齐全的，限期补正，逾期未补正的视为放弃推荐。</w:t>
      </w:r>
    </w:p>
    <w:p w14:paraId="2D68DE7F">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（四）</w:t>
      </w:r>
      <w:r>
        <w:rPr>
          <w:rFonts w:hint="eastAsia" w:ascii="仿宋" w:hAnsi="仿宋" w:eastAsia="仿宋"/>
          <w:sz w:val="32"/>
          <w:szCs w:val="32"/>
        </w:rPr>
        <w:t>同行初评</w:t>
      </w:r>
      <w:r>
        <w:rPr>
          <w:rFonts w:ascii="仿宋" w:hAnsi="仿宋" w:eastAsia="仿宋"/>
          <w:sz w:val="32"/>
          <w:szCs w:val="32"/>
        </w:rPr>
        <w:t>：按论文研究内容及铁道专业方向，将论文分配至相应专业评审组，从专家库中选取匹配的同行专家，采用双盲方式开展初评；每篇论文原则上由不少于 3 名同行专家独立评议。</w:t>
      </w:r>
      <w:r>
        <w:rPr>
          <w:rFonts w:hint="eastAsia" w:ascii="仿宋" w:hAnsi="仿宋" w:eastAsia="仿宋"/>
          <w:sz w:val="32"/>
          <w:szCs w:val="32"/>
        </w:rPr>
        <w:t>专业评审组综合同行专家意见，提出终评候选论文，报工作委员会。</w:t>
      </w:r>
    </w:p>
    <w:p w14:paraId="2B2C83A2">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五）会议终评：工作委员会召开终评会议，审阅初评意见、候选论文及相关材料；必要时可要求博士论文作者进行学术陈述并接受专家问询。工作委员会经充分讨论和无记名表决，提出拟入选汇编论文名单。拟入选数量不得超过本办法规定的年度汇编规模。</w:t>
      </w:r>
    </w:p>
    <w:p w14:paraId="65C29AFE">
      <w:pPr>
        <w:adjustRightInd w:val="0"/>
        <w:snapToGrid w:val="0"/>
        <w:spacing w:after="156" w:afterLines="50" w:line="360" w:lineRule="auto"/>
        <w:ind w:firstLine="480" w:firstLineChars="150"/>
        <w:rPr>
          <w:rFonts w:hint="eastAsia" w:ascii="仿宋" w:hAnsi="仿宋" w:eastAsia="仿宋"/>
          <w:sz w:val="32"/>
          <w:szCs w:val="32"/>
        </w:rPr>
      </w:pPr>
      <w:r>
        <w:rPr>
          <w:rFonts w:ascii="仿宋" w:hAnsi="仿宋" w:eastAsia="仿宋"/>
          <w:sz w:val="32"/>
          <w:szCs w:val="32"/>
        </w:rPr>
        <w:t xml:space="preserve">（六）结果公示：拟入选汇编论文名单在学会网站公示 </w:t>
      </w:r>
      <w:r>
        <w:rPr>
          <w:rFonts w:hint="eastAsia" w:ascii="仿宋" w:hAnsi="仿宋" w:eastAsia="仿宋"/>
          <w:sz w:val="32"/>
          <w:szCs w:val="32"/>
        </w:rPr>
        <w:t>5</w:t>
      </w:r>
      <w:r>
        <w:rPr>
          <w:rFonts w:ascii="仿宋" w:hAnsi="仿宋" w:eastAsia="仿宋"/>
          <w:sz w:val="32"/>
          <w:szCs w:val="32"/>
        </w:rPr>
        <w:t xml:space="preserve"> 个工作日，公示期间受理异议。</w:t>
      </w:r>
    </w:p>
    <w:p w14:paraId="040B07BA">
      <w:pPr>
        <w:adjustRightInd w:val="0"/>
        <w:snapToGrid w:val="0"/>
        <w:spacing w:after="156" w:afterLines="50" w:line="360" w:lineRule="auto"/>
        <w:ind w:firstLine="480" w:firstLineChars="150"/>
        <w:rPr>
          <w:rFonts w:hint="eastAsia" w:ascii="仿宋" w:hAnsi="仿宋" w:eastAsia="仿宋"/>
          <w:sz w:val="32"/>
          <w:szCs w:val="32"/>
        </w:rPr>
      </w:pPr>
      <w:r>
        <w:rPr>
          <w:rFonts w:ascii="仿宋" w:hAnsi="仿宋" w:eastAsia="仿宋"/>
          <w:sz w:val="32"/>
          <w:szCs w:val="32"/>
        </w:rPr>
        <w:t>（七）汇编发布：公示无异议或异议不成立的论文，列入年度《中国铁道学会高质量博士、硕士学位论文年度汇编》，由中国铁道学会以适当形式发布，并可结合学术会议组织入选论文作者开展学术交流。</w:t>
      </w:r>
    </w:p>
    <w:p w14:paraId="36341C8C">
      <w:pPr>
        <w:adjustRightInd w:val="0"/>
        <w:snapToGrid w:val="0"/>
        <w:spacing w:after="156" w:afterLines="50" w:line="360" w:lineRule="auto"/>
        <w:jc w:val="center"/>
        <w:rPr>
          <w:rFonts w:hint="eastAsia" w:ascii="仿宋" w:hAnsi="仿宋" w:eastAsia="仿宋"/>
          <w:b/>
          <w:bCs/>
          <w:sz w:val="32"/>
          <w:szCs w:val="32"/>
        </w:rPr>
      </w:pPr>
      <w:r>
        <w:rPr>
          <w:rFonts w:ascii="仿宋" w:hAnsi="仿宋" w:eastAsia="仿宋"/>
          <w:b/>
          <w:bCs/>
          <w:sz w:val="32"/>
          <w:szCs w:val="32"/>
        </w:rPr>
        <w:t>第六章 异议与工作纪律</w:t>
      </w:r>
    </w:p>
    <w:p w14:paraId="0838069F">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第十</w:t>
      </w:r>
      <w:r>
        <w:rPr>
          <w:rFonts w:hint="eastAsia" w:ascii="仿宋" w:hAnsi="仿宋" w:eastAsia="仿宋"/>
          <w:b/>
          <w:bCs/>
          <w:sz w:val="32"/>
          <w:szCs w:val="32"/>
        </w:rPr>
        <w:t>八</w:t>
      </w:r>
      <w:r>
        <w:rPr>
          <w:rFonts w:ascii="仿宋" w:hAnsi="仿宋" w:eastAsia="仿宋"/>
          <w:b/>
          <w:bCs/>
          <w:sz w:val="32"/>
          <w:szCs w:val="32"/>
        </w:rPr>
        <w:t xml:space="preserve">条 </w:t>
      </w:r>
      <w:r>
        <w:rPr>
          <w:rFonts w:ascii="仿宋" w:hAnsi="仿宋" w:eastAsia="仿宋"/>
          <w:sz w:val="32"/>
          <w:szCs w:val="32"/>
        </w:rPr>
        <w:t>公示期内，任何单位或个人均可对拟入选汇编论文提出异议。异议须以书面形式实名提出，匿名异议不予受理。异议材料应当包含以下内容：</w:t>
      </w:r>
    </w:p>
    <w:p w14:paraId="6862BA7B">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（一）异议论文的编号、名称、作者及单位； </w:t>
      </w:r>
    </w:p>
    <w:p w14:paraId="2E98EDC8">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（二）异议的具体问题与事实依据； </w:t>
      </w:r>
    </w:p>
    <w:p w14:paraId="3BE6D71E">
      <w:pPr>
        <w:adjustRightInd w:val="0"/>
        <w:snapToGrid w:val="0"/>
        <w:spacing w:after="156" w:afterLines="50" w:line="360" w:lineRule="auto"/>
        <w:ind w:firstLine="640" w:firstLineChars="200"/>
        <w:rPr>
          <w:rFonts w:hint="eastAsia" w:ascii="仿宋" w:hAnsi="仿宋" w:eastAsia="仿宋"/>
          <w:sz w:val="32"/>
          <w:szCs w:val="32"/>
        </w:rPr>
      </w:pPr>
      <w:r>
        <w:rPr>
          <w:rFonts w:ascii="仿宋" w:hAnsi="仿宋" w:eastAsia="仿宋"/>
          <w:sz w:val="32"/>
          <w:szCs w:val="32"/>
        </w:rPr>
        <w:t xml:space="preserve">（三）异议人姓名、单位、联系方式及证明材料。 </w:t>
      </w:r>
    </w:p>
    <w:p w14:paraId="21D75BFD">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w:t>
      </w:r>
      <w:r>
        <w:rPr>
          <w:rFonts w:hint="eastAsia" w:ascii="仿宋" w:hAnsi="仿宋" w:eastAsia="仿宋"/>
          <w:b/>
          <w:bCs/>
          <w:sz w:val="32"/>
          <w:szCs w:val="32"/>
        </w:rPr>
        <w:t>十九</w:t>
      </w:r>
      <w:r>
        <w:rPr>
          <w:rFonts w:ascii="仿宋" w:hAnsi="仿宋" w:eastAsia="仿宋"/>
          <w:b/>
          <w:bCs/>
          <w:sz w:val="32"/>
          <w:szCs w:val="32"/>
        </w:rPr>
        <w:t>条</w:t>
      </w:r>
      <w:r>
        <w:rPr>
          <w:rFonts w:ascii="仿宋" w:hAnsi="仿宋" w:eastAsia="仿宋"/>
          <w:sz w:val="32"/>
          <w:szCs w:val="32"/>
        </w:rPr>
        <w:t xml:space="preserve"> 汇编工作办公室收到异议后，会同相关专业评审组进行核查，必要时组织专家论证，在 15 个工作日内将核查处理结果反馈异议人。异议未处理完毕的论文暂不列入年度汇编。</w:t>
      </w:r>
    </w:p>
    <w:p w14:paraId="5DF0B454">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 xml:space="preserve">第二十条 </w:t>
      </w:r>
      <w:r>
        <w:rPr>
          <w:rFonts w:ascii="仿宋" w:hAnsi="仿宋" w:eastAsia="仿宋"/>
          <w:sz w:val="32"/>
          <w:szCs w:val="32"/>
        </w:rPr>
        <w:t>遴选实行回避制度。评审专家与推荐论文作者有师生关系、亲属关系、同一单位任职，或存在其他可能影响公正评议的利益关联，应当主动申请回避。</w:t>
      </w:r>
    </w:p>
    <w:p w14:paraId="7642D5ED">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第二十</w:t>
      </w:r>
      <w:r>
        <w:rPr>
          <w:rFonts w:hint="eastAsia" w:ascii="仿宋" w:hAnsi="仿宋" w:eastAsia="仿宋"/>
          <w:b/>
          <w:bCs/>
          <w:sz w:val="32"/>
          <w:szCs w:val="32"/>
        </w:rPr>
        <w:t>一</w:t>
      </w:r>
      <w:r>
        <w:rPr>
          <w:rFonts w:ascii="仿宋" w:hAnsi="仿宋" w:eastAsia="仿宋"/>
          <w:b/>
          <w:bCs/>
          <w:sz w:val="32"/>
          <w:szCs w:val="32"/>
        </w:rPr>
        <w:t xml:space="preserve">条 </w:t>
      </w:r>
      <w:r>
        <w:rPr>
          <w:rFonts w:ascii="仿宋" w:hAnsi="仿宋" w:eastAsia="仿宋"/>
          <w:sz w:val="32"/>
          <w:szCs w:val="32"/>
        </w:rPr>
        <w:t>评审专家须严格遵守工作纪律，保守评审秘密，不得私下接触推荐人及相关人员，不得泄露评审意见、表决情况与未公开信息。</w:t>
      </w:r>
    </w:p>
    <w:p w14:paraId="7D15D603">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第二十</w:t>
      </w:r>
      <w:r>
        <w:rPr>
          <w:rFonts w:hint="eastAsia" w:ascii="仿宋" w:hAnsi="仿宋" w:eastAsia="仿宋"/>
          <w:b/>
          <w:bCs/>
          <w:sz w:val="32"/>
          <w:szCs w:val="32"/>
        </w:rPr>
        <w:t>二</w:t>
      </w:r>
      <w:r>
        <w:rPr>
          <w:rFonts w:ascii="仿宋" w:hAnsi="仿宋" w:eastAsia="仿宋"/>
          <w:b/>
          <w:bCs/>
          <w:sz w:val="32"/>
          <w:szCs w:val="32"/>
        </w:rPr>
        <w:t xml:space="preserve">条 </w:t>
      </w:r>
      <w:r>
        <w:rPr>
          <w:rFonts w:ascii="仿宋" w:hAnsi="仿宋" w:eastAsia="仿宋"/>
          <w:sz w:val="32"/>
          <w:szCs w:val="32"/>
        </w:rPr>
        <w:t>经查实推荐论文存在剽窃、抄袭、数据造假等学术不端行为的，取消其遴选资格；已列入年度汇编的，取消入选汇编资格，并在后续发布版本中予以撤除；</w:t>
      </w:r>
      <w:r>
        <w:rPr>
          <w:rFonts w:hint="eastAsia" w:ascii="仿宋" w:hAnsi="仿宋" w:eastAsia="仿宋"/>
          <w:sz w:val="32"/>
          <w:szCs w:val="32"/>
        </w:rPr>
        <w:t>取消会员权利</w:t>
      </w:r>
      <w:r>
        <w:rPr>
          <w:rFonts w:ascii="仿宋" w:hAnsi="仿宋" w:eastAsia="仿宋"/>
          <w:sz w:val="32"/>
          <w:szCs w:val="32"/>
        </w:rPr>
        <w:t>3 年。</w:t>
      </w:r>
    </w:p>
    <w:p w14:paraId="49C0271A">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第二十</w:t>
      </w:r>
      <w:r>
        <w:rPr>
          <w:rFonts w:hint="eastAsia" w:ascii="仿宋" w:hAnsi="仿宋" w:eastAsia="仿宋"/>
          <w:b/>
          <w:bCs/>
          <w:sz w:val="32"/>
          <w:szCs w:val="32"/>
        </w:rPr>
        <w:t>三</w:t>
      </w:r>
      <w:r>
        <w:rPr>
          <w:rFonts w:ascii="仿宋" w:hAnsi="仿宋" w:eastAsia="仿宋"/>
          <w:b/>
          <w:bCs/>
          <w:sz w:val="32"/>
          <w:szCs w:val="32"/>
        </w:rPr>
        <w:t xml:space="preserve">条 </w:t>
      </w:r>
      <w:r>
        <w:rPr>
          <w:rFonts w:ascii="仿宋" w:hAnsi="仿宋" w:eastAsia="仿宋"/>
          <w:sz w:val="32"/>
          <w:szCs w:val="32"/>
        </w:rPr>
        <w:t>评审专家在遴选过程中存在徇私舞弊、违反工作纪律行为的，取消其本项工作专家资格，并按学会有关规定处理。</w:t>
      </w:r>
    </w:p>
    <w:p w14:paraId="6BA8ED94">
      <w:pPr>
        <w:adjustRightInd w:val="0"/>
        <w:snapToGrid w:val="0"/>
        <w:spacing w:after="156" w:afterLines="50" w:line="360" w:lineRule="auto"/>
        <w:jc w:val="center"/>
        <w:rPr>
          <w:rFonts w:hint="eastAsia" w:ascii="仿宋" w:hAnsi="仿宋" w:eastAsia="仿宋"/>
          <w:b/>
          <w:bCs/>
          <w:sz w:val="32"/>
          <w:szCs w:val="32"/>
        </w:rPr>
      </w:pPr>
      <w:r>
        <w:rPr>
          <w:rFonts w:ascii="仿宋" w:hAnsi="仿宋" w:eastAsia="仿宋"/>
          <w:b/>
          <w:bCs/>
          <w:sz w:val="32"/>
          <w:szCs w:val="32"/>
        </w:rPr>
        <w:t>第七章 汇编与成果使用</w:t>
      </w:r>
    </w:p>
    <w:p w14:paraId="4AAF3E80">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第二十</w:t>
      </w:r>
      <w:r>
        <w:rPr>
          <w:rFonts w:hint="eastAsia" w:ascii="仿宋" w:hAnsi="仿宋" w:eastAsia="仿宋"/>
          <w:b/>
          <w:bCs/>
          <w:sz w:val="32"/>
          <w:szCs w:val="32"/>
        </w:rPr>
        <w:t>四</w:t>
      </w:r>
      <w:r>
        <w:rPr>
          <w:rFonts w:ascii="仿宋" w:hAnsi="仿宋" w:eastAsia="仿宋"/>
          <w:b/>
          <w:bCs/>
          <w:sz w:val="32"/>
          <w:szCs w:val="32"/>
        </w:rPr>
        <w:t xml:space="preserve">条 </w:t>
      </w:r>
      <w:r>
        <w:rPr>
          <w:rFonts w:ascii="仿宋" w:hAnsi="仿宋" w:eastAsia="仿宋"/>
          <w:sz w:val="32"/>
          <w:szCs w:val="32"/>
        </w:rPr>
        <w:t>年度汇编以入选学位论文的题目、作者信息、论文摘要、主要创新点和代表性成果等内容为主，由学会统一编辑。具体收录内容和编排要求以年度通知为准。</w:t>
      </w:r>
    </w:p>
    <w:p w14:paraId="3FFD9888">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第二十</w:t>
      </w:r>
      <w:r>
        <w:rPr>
          <w:rFonts w:hint="eastAsia" w:ascii="仿宋" w:hAnsi="仿宋" w:eastAsia="仿宋"/>
          <w:b/>
          <w:bCs/>
          <w:sz w:val="32"/>
          <w:szCs w:val="32"/>
        </w:rPr>
        <w:t>五</w:t>
      </w:r>
      <w:r>
        <w:rPr>
          <w:rFonts w:ascii="仿宋" w:hAnsi="仿宋" w:eastAsia="仿宋"/>
          <w:b/>
          <w:bCs/>
          <w:sz w:val="32"/>
          <w:szCs w:val="32"/>
        </w:rPr>
        <w:t xml:space="preserve">条 </w:t>
      </w:r>
      <w:r>
        <w:rPr>
          <w:rFonts w:ascii="仿宋" w:hAnsi="仿宋" w:eastAsia="仿宋"/>
          <w:sz w:val="32"/>
          <w:szCs w:val="32"/>
        </w:rPr>
        <w:t>论文入选年度汇编属于学术成果展示与交流，不设奖金，不设奖励等级，不授予奖励性荣誉称号，不作为职称评审、岗位定级、薪酬待遇等的直接依据。</w:t>
      </w:r>
    </w:p>
    <w:p w14:paraId="7ED15FAF">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第二十</w:t>
      </w:r>
      <w:r>
        <w:rPr>
          <w:rFonts w:hint="eastAsia" w:ascii="仿宋" w:hAnsi="仿宋" w:eastAsia="仿宋"/>
          <w:b/>
          <w:bCs/>
          <w:sz w:val="32"/>
          <w:szCs w:val="32"/>
        </w:rPr>
        <w:t>六</w:t>
      </w:r>
      <w:r>
        <w:rPr>
          <w:rFonts w:ascii="仿宋" w:hAnsi="仿宋" w:eastAsia="仿宋"/>
          <w:b/>
          <w:bCs/>
          <w:sz w:val="32"/>
          <w:szCs w:val="32"/>
        </w:rPr>
        <w:t xml:space="preserve">条 </w:t>
      </w:r>
      <w:r>
        <w:rPr>
          <w:rFonts w:ascii="仿宋" w:hAnsi="仿宋" w:eastAsia="仿宋"/>
          <w:sz w:val="32"/>
          <w:szCs w:val="32"/>
        </w:rPr>
        <w:t>学会可通过官网、学术期刊、学术会议等渠道展示年度汇编内容，并可邀请入选论文作者参加相关学术交流活动。论文全文或相关材料的公开、出版和使用应依法依规取得作者及相关权利人的授权。</w:t>
      </w:r>
    </w:p>
    <w:p w14:paraId="4150CB50">
      <w:pPr>
        <w:adjustRightInd w:val="0"/>
        <w:snapToGrid w:val="0"/>
        <w:spacing w:after="156" w:afterLines="50" w:line="360" w:lineRule="auto"/>
        <w:jc w:val="center"/>
        <w:rPr>
          <w:rFonts w:hint="eastAsia" w:ascii="仿宋" w:hAnsi="仿宋" w:eastAsia="仿宋"/>
          <w:b/>
          <w:bCs/>
          <w:sz w:val="32"/>
          <w:szCs w:val="32"/>
        </w:rPr>
      </w:pPr>
      <w:r>
        <w:rPr>
          <w:rFonts w:ascii="仿宋" w:hAnsi="仿宋" w:eastAsia="仿宋"/>
          <w:b/>
          <w:bCs/>
          <w:sz w:val="32"/>
          <w:szCs w:val="32"/>
        </w:rPr>
        <w:t>第八章 附则</w:t>
      </w:r>
    </w:p>
    <w:p w14:paraId="539496F3">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第二十</w:t>
      </w:r>
      <w:r>
        <w:rPr>
          <w:rFonts w:hint="eastAsia" w:ascii="仿宋" w:hAnsi="仿宋" w:eastAsia="仿宋"/>
          <w:b/>
          <w:bCs/>
          <w:sz w:val="32"/>
          <w:szCs w:val="32"/>
        </w:rPr>
        <w:t>七</w:t>
      </w:r>
      <w:r>
        <w:rPr>
          <w:rFonts w:ascii="仿宋" w:hAnsi="仿宋" w:eastAsia="仿宋"/>
          <w:b/>
          <w:bCs/>
          <w:sz w:val="32"/>
          <w:szCs w:val="32"/>
        </w:rPr>
        <w:t xml:space="preserve">条 </w:t>
      </w:r>
      <w:r>
        <w:rPr>
          <w:rFonts w:ascii="仿宋" w:hAnsi="仿宋" w:eastAsia="仿宋"/>
          <w:sz w:val="32"/>
          <w:szCs w:val="32"/>
        </w:rPr>
        <w:t>本办法由中国铁道学会负责解释。</w:t>
      </w:r>
    </w:p>
    <w:p w14:paraId="066FCEC8">
      <w:pPr>
        <w:adjustRightInd w:val="0"/>
        <w:snapToGrid w:val="0"/>
        <w:spacing w:after="156" w:afterLines="50" w:line="360" w:lineRule="auto"/>
        <w:ind w:firstLine="643" w:firstLineChars="200"/>
        <w:rPr>
          <w:rFonts w:hint="eastAsia" w:ascii="仿宋" w:hAnsi="仿宋" w:eastAsia="仿宋"/>
          <w:sz w:val="32"/>
          <w:szCs w:val="32"/>
        </w:rPr>
      </w:pPr>
      <w:r>
        <w:rPr>
          <w:rFonts w:ascii="仿宋" w:hAnsi="仿宋" w:eastAsia="仿宋"/>
          <w:b/>
          <w:bCs/>
          <w:sz w:val="32"/>
          <w:szCs w:val="32"/>
        </w:rPr>
        <w:t>第二十</w:t>
      </w:r>
      <w:r>
        <w:rPr>
          <w:rFonts w:hint="eastAsia" w:ascii="仿宋" w:hAnsi="仿宋" w:eastAsia="仿宋"/>
          <w:b/>
          <w:bCs/>
          <w:sz w:val="32"/>
          <w:szCs w:val="32"/>
        </w:rPr>
        <w:t>八</w:t>
      </w:r>
      <w:r>
        <w:rPr>
          <w:rFonts w:ascii="仿宋" w:hAnsi="仿宋" w:eastAsia="仿宋"/>
          <w:b/>
          <w:bCs/>
          <w:sz w:val="32"/>
          <w:szCs w:val="32"/>
        </w:rPr>
        <w:t xml:space="preserve">条 </w:t>
      </w:r>
      <w:r>
        <w:rPr>
          <w:rFonts w:ascii="仿宋" w:hAnsi="仿宋" w:eastAsia="仿宋"/>
          <w:sz w:val="32"/>
          <w:szCs w:val="32"/>
        </w:rPr>
        <w:t>本办法自发布之日起施行。</w:t>
      </w:r>
    </w:p>
    <w:p w14:paraId="0A5C94B8">
      <w:pPr>
        <w:widowControl/>
        <w:spacing w:line="360" w:lineRule="auto"/>
        <w:jc w:val="left"/>
        <w:rPr>
          <w:rFonts w:hint="eastAsia" w:ascii="仿宋" w:hAnsi="仿宋" w:eastAsia="仿宋"/>
          <w:sz w:val="24"/>
          <w:szCs w:val="24"/>
        </w:rPr>
      </w:pPr>
      <w:r>
        <w:rPr>
          <w:rFonts w:ascii="仿宋" w:hAnsi="仿宋" w:eastAsia="仿宋"/>
          <w:sz w:val="32"/>
          <w:szCs w:val="32"/>
        </w:rPr>
        <w:br w:type="page"/>
      </w:r>
    </w:p>
    <w:p w14:paraId="1CC203F4">
      <w:pPr>
        <w:adjustRightInd w:val="0"/>
        <w:snapToGrid w:val="0"/>
        <w:spacing w:after="156" w:afterLines="50" w:line="360" w:lineRule="auto"/>
        <w:rPr>
          <w:rFonts w:hint="eastAsia" w:ascii="仿宋" w:hAnsi="仿宋" w:eastAsia="仿宋"/>
          <w:sz w:val="24"/>
          <w:szCs w:val="24"/>
        </w:rPr>
      </w:pPr>
    </w:p>
    <w:p w14:paraId="5A1E6874">
      <w:pPr>
        <w:adjustRightInd w:val="0"/>
        <w:snapToGrid w:val="0"/>
        <w:spacing w:line="360" w:lineRule="auto"/>
        <w:jc w:val="center"/>
        <w:rPr>
          <w:rFonts w:hint="eastAsia" w:ascii="仿宋" w:hAnsi="仿宋" w:eastAsia="仿宋"/>
          <w:sz w:val="24"/>
          <w:szCs w:val="24"/>
        </w:rPr>
      </w:pPr>
      <w:r>
        <w:rPr>
          <w:rFonts w:ascii="仿宋" w:hAnsi="仿宋" w:eastAsia="仿宋"/>
          <w:sz w:val="24"/>
          <w:szCs w:val="24"/>
        </w:rPr>
        <w:t>附件 1 遴选参考评价标准（100 分制）</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850"/>
        <w:gridCol w:w="6033"/>
      </w:tblGrid>
      <w:tr w14:paraId="485B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5B9A088D">
            <w:pPr>
              <w:adjustRightInd w:val="0"/>
              <w:snapToGrid w:val="0"/>
              <w:spacing w:line="360" w:lineRule="auto"/>
              <w:jc w:val="center"/>
              <w:rPr>
                <w:rFonts w:hint="eastAsia" w:ascii="仿宋" w:hAnsi="仿宋" w:eastAsia="仿宋"/>
                <w:sz w:val="24"/>
                <w:szCs w:val="24"/>
              </w:rPr>
            </w:pPr>
            <w:r>
              <w:rPr>
                <w:rFonts w:ascii="仿宋" w:hAnsi="仿宋" w:eastAsia="仿宋"/>
                <w:sz w:val="24"/>
                <w:szCs w:val="24"/>
              </w:rPr>
              <w:t>一级指标</w:t>
            </w:r>
          </w:p>
        </w:tc>
        <w:tc>
          <w:tcPr>
            <w:tcW w:w="850" w:type="dxa"/>
            <w:vAlign w:val="center"/>
          </w:tcPr>
          <w:p w14:paraId="3F46DDF8">
            <w:pPr>
              <w:adjustRightInd w:val="0"/>
              <w:snapToGrid w:val="0"/>
              <w:spacing w:line="360" w:lineRule="auto"/>
              <w:jc w:val="center"/>
              <w:rPr>
                <w:rFonts w:hint="eastAsia" w:ascii="仿宋" w:hAnsi="仿宋" w:eastAsia="仿宋"/>
                <w:sz w:val="24"/>
                <w:szCs w:val="24"/>
              </w:rPr>
            </w:pPr>
            <w:r>
              <w:rPr>
                <w:rFonts w:ascii="仿宋" w:hAnsi="仿宋" w:eastAsia="仿宋"/>
                <w:sz w:val="24"/>
                <w:szCs w:val="24"/>
              </w:rPr>
              <w:t>权重</w:t>
            </w:r>
          </w:p>
        </w:tc>
        <w:tc>
          <w:tcPr>
            <w:tcW w:w="6033" w:type="dxa"/>
            <w:vAlign w:val="center"/>
          </w:tcPr>
          <w:p w14:paraId="1CBE3748">
            <w:pPr>
              <w:snapToGrid w:val="0"/>
              <w:spacing w:line="360" w:lineRule="auto"/>
              <w:jc w:val="center"/>
              <w:rPr>
                <w:rFonts w:hint="eastAsia" w:ascii="仿宋" w:hAnsi="仿宋" w:eastAsia="仿宋"/>
                <w:sz w:val="24"/>
                <w:szCs w:val="24"/>
              </w:rPr>
            </w:pPr>
            <w:r>
              <w:rPr>
                <w:rFonts w:ascii="仿宋" w:hAnsi="仿宋" w:eastAsia="仿宋"/>
                <w:sz w:val="24"/>
                <w:szCs w:val="24"/>
              </w:rPr>
              <w:t>评价要点</w:t>
            </w:r>
          </w:p>
        </w:tc>
      </w:tr>
      <w:tr w14:paraId="780C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79DEDD1F">
            <w:pPr>
              <w:adjustRightInd w:val="0"/>
              <w:snapToGrid w:val="0"/>
              <w:spacing w:line="360" w:lineRule="auto"/>
              <w:jc w:val="center"/>
              <w:rPr>
                <w:rFonts w:hint="eastAsia" w:ascii="仿宋" w:hAnsi="仿宋" w:eastAsia="仿宋"/>
                <w:sz w:val="24"/>
                <w:szCs w:val="24"/>
              </w:rPr>
            </w:pPr>
            <w:r>
              <w:rPr>
                <w:rStyle w:val="11"/>
                <w:rFonts w:ascii="仿宋" w:hAnsi="仿宋" w:eastAsia="仿宋"/>
                <w:sz w:val="24"/>
                <w:szCs w:val="24"/>
              </w:rPr>
              <w:t>选题与意义</w:t>
            </w:r>
          </w:p>
        </w:tc>
        <w:tc>
          <w:tcPr>
            <w:tcW w:w="850" w:type="dxa"/>
            <w:vAlign w:val="center"/>
          </w:tcPr>
          <w:p w14:paraId="75D5E9AA">
            <w:pPr>
              <w:adjustRightInd w:val="0"/>
              <w:snapToGrid w:val="0"/>
              <w:spacing w:line="360" w:lineRule="auto"/>
              <w:jc w:val="center"/>
              <w:rPr>
                <w:rFonts w:hint="eastAsia" w:ascii="仿宋" w:hAnsi="仿宋" w:eastAsia="仿宋"/>
                <w:sz w:val="24"/>
                <w:szCs w:val="24"/>
              </w:rPr>
            </w:pPr>
            <w:r>
              <w:rPr>
                <w:rStyle w:val="11"/>
                <w:rFonts w:ascii="仿宋" w:hAnsi="仿宋" w:eastAsia="仿宋"/>
                <w:sz w:val="24"/>
                <w:szCs w:val="24"/>
              </w:rPr>
              <w:t>20分</w:t>
            </w:r>
          </w:p>
        </w:tc>
        <w:tc>
          <w:tcPr>
            <w:tcW w:w="6033" w:type="dxa"/>
            <w:vAlign w:val="center"/>
          </w:tcPr>
          <w:p w14:paraId="2A722541">
            <w:pPr>
              <w:adjustRightInd w:val="0"/>
              <w:snapToGrid w:val="0"/>
              <w:spacing w:line="360" w:lineRule="auto"/>
              <w:jc w:val="center"/>
              <w:rPr>
                <w:rFonts w:hint="eastAsia" w:ascii="仿宋" w:hAnsi="仿宋" w:eastAsia="仿宋"/>
                <w:sz w:val="24"/>
                <w:szCs w:val="24"/>
              </w:rPr>
            </w:pPr>
            <w:r>
              <w:rPr>
                <w:rFonts w:ascii="仿宋" w:hAnsi="仿宋" w:eastAsia="仿宋"/>
                <w:sz w:val="24"/>
                <w:szCs w:val="24"/>
              </w:rPr>
              <w:t>1. 紧扣铁道行业科技发展前沿、重大工程需求或关键技术问题（10分）；2. 选题具有重要理论价值、工程价值或行业应用意义（10分）。</w:t>
            </w:r>
          </w:p>
        </w:tc>
      </w:tr>
      <w:tr w14:paraId="1DAE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00F218B6">
            <w:pPr>
              <w:adjustRightInd w:val="0"/>
              <w:snapToGrid w:val="0"/>
              <w:spacing w:line="360" w:lineRule="auto"/>
              <w:jc w:val="center"/>
              <w:rPr>
                <w:rFonts w:hint="eastAsia" w:ascii="仿宋" w:hAnsi="仿宋" w:eastAsia="仿宋"/>
                <w:sz w:val="24"/>
                <w:szCs w:val="24"/>
              </w:rPr>
            </w:pPr>
            <w:r>
              <w:rPr>
                <w:rStyle w:val="11"/>
                <w:rFonts w:ascii="仿宋" w:hAnsi="仿宋" w:eastAsia="仿宋"/>
                <w:sz w:val="24"/>
                <w:szCs w:val="24"/>
              </w:rPr>
              <w:t>创新性</w:t>
            </w:r>
          </w:p>
        </w:tc>
        <w:tc>
          <w:tcPr>
            <w:tcW w:w="850" w:type="dxa"/>
            <w:vAlign w:val="center"/>
          </w:tcPr>
          <w:p w14:paraId="62AAC17A">
            <w:pPr>
              <w:adjustRightInd w:val="0"/>
              <w:snapToGrid w:val="0"/>
              <w:spacing w:line="360" w:lineRule="auto"/>
              <w:jc w:val="center"/>
              <w:rPr>
                <w:rFonts w:hint="eastAsia" w:ascii="仿宋" w:hAnsi="仿宋" w:eastAsia="仿宋"/>
                <w:sz w:val="24"/>
                <w:szCs w:val="24"/>
              </w:rPr>
            </w:pPr>
            <w:r>
              <w:rPr>
                <w:rStyle w:val="11"/>
                <w:rFonts w:ascii="仿宋" w:hAnsi="仿宋" w:eastAsia="仿宋"/>
                <w:sz w:val="24"/>
                <w:szCs w:val="24"/>
              </w:rPr>
              <w:t>25分</w:t>
            </w:r>
          </w:p>
        </w:tc>
        <w:tc>
          <w:tcPr>
            <w:tcW w:w="6033" w:type="dxa"/>
            <w:vAlign w:val="center"/>
          </w:tcPr>
          <w:p w14:paraId="4BCD4A79">
            <w:pPr>
              <w:adjustRightInd w:val="0"/>
              <w:snapToGrid w:val="0"/>
              <w:spacing w:line="360" w:lineRule="auto"/>
              <w:jc w:val="center"/>
              <w:rPr>
                <w:rFonts w:hint="eastAsia" w:ascii="仿宋" w:hAnsi="仿宋" w:eastAsia="仿宋"/>
                <w:sz w:val="24"/>
                <w:szCs w:val="24"/>
              </w:rPr>
            </w:pPr>
            <w:r>
              <w:rPr>
                <w:rFonts w:ascii="仿宋" w:hAnsi="仿宋" w:eastAsia="仿宋"/>
                <w:sz w:val="24"/>
                <w:szCs w:val="24"/>
              </w:rPr>
              <w:t>1. 在理论、方法、技术、工艺等方面具有创新性（15分）；2. 研究成果在解决行业关键问题、突破技术瓶颈等方面具有一定先进性（10分）。</w:t>
            </w:r>
          </w:p>
        </w:tc>
      </w:tr>
      <w:tr w14:paraId="4611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5B73AAC4">
            <w:pPr>
              <w:adjustRightInd w:val="0"/>
              <w:snapToGrid w:val="0"/>
              <w:spacing w:line="360" w:lineRule="auto"/>
              <w:jc w:val="center"/>
              <w:rPr>
                <w:rFonts w:hint="eastAsia" w:ascii="仿宋" w:hAnsi="仿宋" w:eastAsia="仿宋"/>
                <w:sz w:val="24"/>
                <w:szCs w:val="24"/>
              </w:rPr>
            </w:pPr>
            <w:r>
              <w:rPr>
                <w:rStyle w:val="11"/>
                <w:rFonts w:ascii="仿宋" w:hAnsi="仿宋" w:eastAsia="仿宋"/>
                <w:sz w:val="24"/>
                <w:szCs w:val="24"/>
              </w:rPr>
              <w:t>科学性与严谨性</w:t>
            </w:r>
          </w:p>
        </w:tc>
        <w:tc>
          <w:tcPr>
            <w:tcW w:w="850" w:type="dxa"/>
            <w:vAlign w:val="center"/>
          </w:tcPr>
          <w:p w14:paraId="7F6B1749">
            <w:pPr>
              <w:adjustRightInd w:val="0"/>
              <w:snapToGrid w:val="0"/>
              <w:spacing w:line="360" w:lineRule="auto"/>
              <w:jc w:val="center"/>
              <w:rPr>
                <w:rFonts w:hint="eastAsia" w:ascii="仿宋" w:hAnsi="仿宋" w:eastAsia="仿宋"/>
                <w:sz w:val="24"/>
                <w:szCs w:val="24"/>
              </w:rPr>
            </w:pPr>
            <w:r>
              <w:rPr>
                <w:rStyle w:val="11"/>
                <w:rFonts w:ascii="仿宋" w:hAnsi="仿宋" w:eastAsia="仿宋"/>
                <w:sz w:val="24"/>
                <w:szCs w:val="24"/>
              </w:rPr>
              <w:t>20分</w:t>
            </w:r>
          </w:p>
        </w:tc>
        <w:tc>
          <w:tcPr>
            <w:tcW w:w="6033" w:type="dxa"/>
            <w:vAlign w:val="center"/>
          </w:tcPr>
          <w:p w14:paraId="4A6955E9">
            <w:pPr>
              <w:adjustRightInd w:val="0"/>
              <w:snapToGrid w:val="0"/>
              <w:spacing w:line="360" w:lineRule="auto"/>
              <w:jc w:val="center"/>
              <w:rPr>
                <w:rFonts w:hint="eastAsia" w:ascii="仿宋" w:hAnsi="仿宋" w:eastAsia="仿宋"/>
                <w:sz w:val="24"/>
                <w:szCs w:val="24"/>
              </w:rPr>
            </w:pPr>
            <w:r>
              <w:rPr>
                <w:rFonts w:ascii="仿宋" w:hAnsi="仿宋" w:eastAsia="仿宋"/>
                <w:sz w:val="24"/>
                <w:szCs w:val="24"/>
              </w:rPr>
              <w:t>1. 研究方案设计合理，技术路线清晰可行，研究方法科学规范（8分）；2. 数据真实可靠，实验或分析过程规范，论证充分严密（7分）；3. 结论科学可信，与研究目标和研究内容相一致（5分）。</w:t>
            </w:r>
          </w:p>
        </w:tc>
      </w:tr>
      <w:tr w14:paraId="0225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30DAB721">
            <w:pPr>
              <w:adjustRightInd w:val="0"/>
              <w:snapToGrid w:val="0"/>
              <w:spacing w:line="360" w:lineRule="auto"/>
              <w:jc w:val="center"/>
              <w:rPr>
                <w:rFonts w:hint="eastAsia" w:ascii="仿宋" w:hAnsi="仿宋" w:eastAsia="仿宋"/>
                <w:sz w:val="24"/>
                <w:szCs w:val="24"/>
              </w:rPr>
            </w:pPr>
            <w:r>
              <w:rPr>
                <w:rStyle w:val="11"/>
                <w:rFonts w:ascii="仿宋" w:hAnsi="仿宋" w:eastAsia="仿宋"/>
                <w:sz w:val="24"/>
                <w:szCs w:val="24"/>
              </w:rPr>
              <w:t>工程实践与应用价值</w:t>
            </w:r>
          </w:p>
        </w:tc>
        <w:tc>
          <w:tcPr>
            <w:tcW w:w="850" w:type="dxa"/>
            <w:vAlign w:val="center"/>
          </w:tcPr>
          <w:p w14:paraId="51B043AE">
            <w:pPr>
              <w:adjustRightInd w:val="0"/>
              <w:snapToGrid w:val="0"/>
              <w:spacing w:line="360" w:lineRule="auto"/>
              <w:jc w:val="center"/>
              <w:rPr>
                <w:rFonts w:hint="eastAsia" w:ascii="仿宋" w:hAnsi="仿宋" w:eastAsia="仿宋"/>
                <w:sz w:val="24"/>
                <w:szCs w:val="24"/>
              </w:rPr>
            </w:pPr>
            <w:r>
              <w:rPr>
                <w:rStyle w:val="11"/>
                <w:rFonts w:ascii="仿宋" w:hAnsi="仿宋" w:eastAsia="仿宋"/>
                <w:sz w:val="24"/>
                <w:szCs w:val="24"/>
              </w:rPr>
              <w:t>25分</w:t>
            </w:r>
          </w:p>
        </w:tc>
        <w:tc>
          <w:tcPr>
            <w:tcW w:w="6033" w:type="dxa"/>
            <w:vAlign w:val="center"/>
          </w:tcPr>
          <w:p w14:paraId="72214A1E">
            <w:pPr>
              <w:adjustRightInd w:val="0"/>
              <w:snapToGrid w:val="0"/>
              <w:spacing w:line="360" w:lineRule="auto"/>
              <w:jc w:val="center"/>
              <w:rPr>
                <w:rFonts w:hint="eastAsia" w:ascii="仿宋" w:hAnsi="仿宋" w:eastAsia="仿宋"/>
                <w:sz w:val="24"/>
                <w:szCs w:val="24"/>
              </w:rPr>
            </w:pPr>
            <w:r>
              <w:rPr>
                <w:rFonts w:ascii="仿宋" w:hAnsi="仿宋" w:eastAsia="仿宋"/>
                <w:sz w:val="24"/>
                <w:szCs w:val="24"/>
              </w:rPr>
              <w:t>1. 研究成果与铁道工程实践、生产运营或技术需求紧密结合（8分）；2. 已形成工程应用、技术验证、示范应用或解决实际工程问题的成果（10分）；3. 具有明确的推广应用前景，对提升铁道行业技术水平、经济效益或社会效益具有积极作用（7分）。</w:t>
            </w:r>
          </w:p>
        </w:tc>
      </w:tr>
      <w:tr w14:paraId="7114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413" w:type="dxa"/>
            <w:vAlign w:val="center"/>
          </w:tcPr>
          <w:p w14:paraId="6C2B154C">
            <w:pPr>
              <w:adjustRightInd w:val="0"/>
              <w:snapToGrid w:val="0"/>
              <w:spacing w:line="360" w:lineRule="auto"/>
              <w:jc w:val="center"/>
              <w:rPr>
                <w:rFonts w:hint="eastAsia" w:ascii="仿宋" w:hAnsi="仿宋" w:eastAsia="仿宋"/>
                <w:sz w:val="24"/>
                <w:szCs w:val="24"/>
              </w:rPr>
            </w:pPr>
            <w:r>
              <w:rPr>
                <w:rStyle w:val="11"/>
                <w:rFonts w:ascii="仿宋" w:hAnsi="仿宋" w:eastAsia="仿宋"/>
                <w:sz w:val="24"/>
                <w:szCs w:val="24"/>
              </w:rPr>
              <w:t>写作与规范性</w:t>
            </w:r>
          </w:p>
        </w:tc>
        <w:tc>
          <w:tcPr>
            <w:tcW w:w="850" w:type="dxa"/>
            <w:vAlign w:val="center"/>
          </w:tcPr>
          <w:p w14:paraId="4BDCF827">
            <w:pPr>
              <w:adjustRightInd w:val="0"/>
              <w:snapToGrid w:val="0"/>
              <w:spacing w:line="360" w:lineRule="auto"/>
              <w:jc w:val="center"/>
              <w:rPr>
                <w:rFonts w:hint="eastAsia" w:ascii="仿宋" w:hAnsi="仿宋" w:eastAsia="仿宋"/>
                <w:sz w:val="24"/>
                <w:szCs w:val="24"/>
              </w:rPr>
            </w:pPr>
            <w:r>
              <w:rPr>
                <w:rStyle w:val="11"/>
                <w:rFonts w:ascii="仿宋" w:hAnsi="仿宋" w:eastAsia="仿宋"/>
                <w:sz w:val="24"/>
                <w:szCs w:val="24"/>
              </w:rPr>
              <w:t>10分</w:t>
            </w:r>
          </w:p>
        </w:tc>
        <w:tc>
          <w:tcPr>
            <w:tcW w:w="6033" w:type="dxa"/>
            <w:vAlign w:val="center"/>
          </w:tcPr>
          <w:p w14:paraId="7728BE2A">
            <w:pPr>
              <w:adjustRightInd w:val="0"/>
              <w:snapToGrid w:val="0"/>
              <w:spacing w:line="360" w:lineRule="auto"/>
              <w:jc w:val="center"/>
              <w:rPr>
                <w:rFonts w:hint="eastAsia" w:ascii="仿宋" w:hAnsi="仿宋" w:eastAsia="仿宋"/>
                <w:sz w:val="24"/>
                <w:szCs w:val="24"/>
              </w:rPr>
            </w:pPr>
            <w:r>
              <w:rPr>
                <w:rFonts w:ascii="仿宋" w:hAnsi="仿宋" w:eastAsia="仿宋"/>
                <w:sz w:val="24"/>
                <w:szCs w:val="24"/>
              </w:rPr>
              <w:t>1. 论文结构完整，层次清晰，文字准确，表达规范（5分）；2. 图表、公式、参考文献及其他论文要素符合相关规范（5分）。</w:t>
            </w:r>
          </w:p>
        </w:tc>
      </w:tr>
    </w:tbl>
    <w:p w14:paraId="16573D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注：博士论文与硕士论文可根据培养类型和论文特点分别制定分项权重。</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auto"/>
    <w:pitch w:val="default"/>
    <w:sig w:usb0="A00002BF" w:usb1="38CF7CFA" w:usb2="00082016" w:usb3="00000000" w:csb0="00040001" w:csb1="00000000"/>
    <w:embedRegular r:id="rId1" w:fontKey="{C30F0B7A-84E8-409A-97D6-8DF7A96F580F}"/>
  </w:font>
  <w:font w:name="仿宋">
    <w:panose1 w:val="02010609060101010101"/>
    <w:charset w:val="86"/>
    <w:family w:val="modern"/>
    <w:pitch w:val="default"/>
    <w:sig w:usb0="800002BF" w:usb1="38CF7CFA" w:usb2="00000016" w:usb3="00000000" w:csb0="00040001" w:csb1="00000000"/>
    <w:embedRegular r:id="rId2" w:fontKey="{B38601F7-377D-4E20-854B-FEE143039C76}"/>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6474797"/>
      <w:docPartObj>
        <w:docPartGallery w:val="AutoText"/>
      </w:docPartObj>
    </w:sdtPr>
    <w:sdtContent>
      <w:p w14:paraId="260BB854">
        <w:pPr>
          <w:pStyle w:val="5"/>
          <w:jc w:val="center"/>
          <w:rPr>
            <w:rFonts w:hint="eastAsia"/>
          </w:rPr>
        </w:pPr>
        <w:r>
          <w:fldChar w:fldCharType="begin"/>
        </w:r>
        <w:r>
          <w:instrText xml:space="preserve">PAGE   \* MERGEFORMAT</w:instrText>
        </w:r>
        <w:r>
          <w:fldChar w:fldCharType="separate"/>
        </w:r>
        <w:r>
          <w:rPr>
            <w:lang w:val="zh-CN"/>
          </w:rPr>
          <w:t>3</w:t>
        </w:r>
        <w:r>
          <w:fldChar w:fldCharType="end"/>
        </w:r>
      </w:p>
    </w:sdtContent>
  </w:sdt>
  <w:p w14:paraId="431033EE">
    <w:pPr>
      <w:pStyle w:val="5"/>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7A4"/>
    <w:rsid w:val="00075685"/>
    <w:rsid w:val="000A1309"/>
    <w:rsid w:val="0021271B"/>
    <w:rsid w:val="002444D9"/>
    <w:rsid w:val="00291E32"/>
    <w:rsid w:val="002B1F01"/>
    <w:rsid w:val="00397281"/>
    <w:rsid w:val="00421CA3"/>
    <w:rsid w:val="004458CE"/>
    <w:rsid w:val="00455697"/>
    <w:rsid w:val="00477E04"/>
    <w:rsid w:val="004966C8"/>
    <w:rsid w:val="004C2674"/>
    <w:rsid w:val="0060524C"/>
    <w:rsid w:val="006627A4"/>
    <w:rsid w:val="00663A56"/>
    <w:rsid w:val="00673BD1"/>
    <w:rsid w:val="00685119"/>
    <w:rsid w:val="00694462"/>
    <w:rsid w:val="006B7DB1"/>
    <w:rsid w:val="007331AF"/>
    <w:rsid w:val="0078553A"/>
    <w:rsid w:val="0078694A"/>
    <w:rsid w:val="00793145"/>
    <w:rsid w:val="0079330C"/>
    <w:rsid w:val="007B132A"/>
    <w:rsid w:val="007F73EF"/>
    <w:rsid w:val="008618CD"/>
    <w:rsid w:val="008A24E7"/>
    <w:rsid w:val="00941760"/>
    <w:rsid w:val="00963F72"/>
    <w:rsid w:val="0096778E"/>
    <w:rsid w:val="00980CD9"/>
    <w:rsid w:val="00994A02"/>
    <w:rsid w:val="009A1A46"/>
    <w:rsid w:val="009B2970"/>
    <w:rsid w:val="009C7161"/>
    <w:rsid w:val="009D6C08"/>
    <w:rsid w:val="009D753B"/>
    <w:rsid w:val="00A0001F"/>
    <w:rsid w:val="00A17F48"/>
    <w:rsid w:val="00A4464D"/>
    <w:rsid w:val="00A67F3B"/>
    <w:rsid w:val="00AB7780"/>
    <w:rsid w:val="00AE0507"/>
    <w:rsid w:val="00B52103"/>
    <w:rsid w:val="00BA0712"/>
    <w:rsid w:val="00BB07EF"/>
    <w:rsid w:val="00BB4C8E"/>
    <w:rsid w:val="00C266C9"/>
    <w:rsid w:val="00C92907"/>
    <w:rsid w:val="00CC7D19"/>
    <w:rsid w:val="00CD2E4D"/>
    <w:rsid w:val="00D34A51"/>
    <w:rsid w:val="00D4507B"/>
    <w:rsid w:val="00DC4F68"/>
    <w:rsid w:val="00E24C92"/>
    <w:rsid w:val="00ED1AA2"/>
    <w:rsid w:val="00F6086F"/>
    <w:rsid w:val="00FC0745"/>
    <w:rsid w:val="00FC103F"/>
    <w:rsid w:val="00FE250A"/>
    <w:rsid w:val="626374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12"/>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3">
    <w:name w:val="heading 3"/>
    <w:basedOn w:val="1"/>
    <w:link w:val="13"/>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semiHidden/>
    <w:unhideWhenUsed/>
    <w:qFormat/>
    <w:uiPriority w:val="99"/>
    <w:rPr>
      <w:sz w:val="18"/>
      <w:szCs w:val="18"/>
    </w:rPr>
  </w:style>
  <w:style w:type="paragraph" w:styleId="5">
    <w:name w:val="footer"/>
    <w:basedOn w:val="1"/>
    <w:link w:val="15"/>
    <w:unhideWhenUsed/>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customStyle="1" w:styleId="12">
    <w:name w:val="标题 2 字符"/>
    <w:basedOn w:val="10"/>
    <w:link w:val="2"/>
    <w:qFormat/>
    <w:uiPriority w:val="9"/>
    <w:rPr>
      <w:rFonts w:ascii="宋体" w:hAnsi="宋体" w:eastAsia="宋体" w:cs="宋体"/>
      <w:b/>
      <w:bCs/>
      <w:kern w:val="0"/>
      <w:sz w:val="36"/>
      <w:szCs w:val="36"/>
    </w:rPr>
  </w:style>
  <w:style w:type="character" w:customStyle="1" w:styleId="13">
    <w:name w:val="标题 3 字符"/>
    <w:basedOn w:val="10"/>
    <w:link w:val="3"/>
    <w:qFormat/>
    <w:uiPriority w:val="9"/>
    <w:rPr>
      <w:rFonts w:ascii="宋体" w:hAnsi="宋体" w:eastAsia="宋体" w:cs="宋体"/>
      <w:b/>
      <w:bCs/>
      <w:kern w:val="0"/>
      <w:sz w:val="27"/>
      <w:szCs w:val="27"/>
    </w:rPr>
  </w:style>
  <w:style w:type="character" w:customStyle="1" w:styleId="14">
    <w:name w:val="页眉 字符"/>
    <w:basedOn w:val="10"/>
    <w:link w:val="6"/>
    <w:qFormat/>
    <w:uiPriority w:val="99"/>
    <w:rPr>
      <w:sz w:val="18"/>
      <w:szCs w:val="18"/>
    </w:rPr>
  </w:style>
  <w:style w:type="character" w:customStyle="1" w:styleId="15">
    <w:name w:val="页脚 字符"/>
    <w:basedOn w:val="10"/>
    <w:link w:val="5"/>
    <w:qFormat/>
    <w:uiPriority w:val="99"/>
    <w:rPr>
      <w:sz w:val="18"/>
      <w:szCs w:val="18"/>
    </w:rPr>
  </w:style>
  <w:style w:type="character" w:customStyle="1" w:styleId="16">
    <w:name w:val="批注框文本 字符"/>
    <w:basedOn w:val="10"/>
    <w:link w:val="4"/>
    <w:semiHidden/>
    <w:qFormat/>
    <w:uiPriority w:val="99"/>
    <w:rPr>
      <w:sz w:val="18"/>
      <w:szCs w:val="18"/>
    </w:rPr>
  </w:style>
  <w:style w:type="paragraph" w:customStyle="1" w:styleId="17">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2A3A1-C514-4F8D-9434-47DC66B219F4}">
  <ds:schemaRefs/>
</ds:datastoreItem>
</file>

<file path=docProps/app.xml><?xml version="1.0" encoding="utf-8"?>
<Properties xmlns="http://schemas.openxmlformats.org/officeDocument/2006/extended-properties" xmlns:vt="http://schemas.openxmlformats.org/officeDocument/2006/docPropsVTypes">
  <Template>Normal</Template>
  <Pages>11</Pages>
  <Words>4203</Words>
  <Characters>4239</Characters>
  <Lines>31</Lines>
  <Paragraphs>8</Paragraphs>
  <TotalTime>0</TotalTime>
  <ScaleCrop>false</ScaleCrop>
  <LinksUpToDate>false</LinksUpToDate>
  <CharactersWithSpaces>4362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2026-09-30T05:49:00Z</dcterms:created>
  <dc:creator>Xiaohui Zhang</dc:creator>
  <cp:lastModifiedBy>ABC</cp:lastModifiedBy>
  <cp:lastPrinted>2026-09-10T00:25:00Z</cp:lastPrinted>
  <dcterms:modified xsi:type="dcterms:W3CDTF">2026-10-10T07:02:43Z</dcterms:modified>
  <dc:subject>中国铁道学会优秀博士、硕士学位论文激励计划管理办法</dc:subject>
  <dc:title>中国铁道学会优秀博士、硕士学位论文激励计划管理办法（试行）</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eyJoZGlkIjoiMTQyMDUzMDQ4NGQ2ZWY1MTUwOWY4N2M3YzI0Yjg3MDkiLCJ1c2VySWQiOiI5NjU3NTcwOTkifQ==</vt:lpwstr>
  </property>
  <property fmtid="{D5CDD505-2E9C-101B-9397-08002B2CF9AE}" pid="3" name="KSOProductBuildVer">
    <vt:lpwstr>2052-12.1.0.28488</vt:lpwstr>
  </property>
  <property fmtid="{D5CDD505-2E9C-101B-9397-08002B2CF9AE}" pid="4" name="ICV">
    <vt:lpwstr>304B065072EE44C48AC47C82E4E2A7BD_12</vt:lpwstr>
  </property>
</Properties>
</file>